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top"/>
          </w:tcPr>
          <w:p w14:paraId="7CF21474" w14:textId="6BDEADC9" w:rsidR="00FB3483" w:rsidRPr="00930A31" w:rsidRDefault="00FB3483" w:rsidP="00550BF1">
            <w:pPr>
              <w:pStyle w:val="Default"/>
              <w:rPr>
                <w:rFonts w:ascii="Arial" w:hAnsi="Arial" w:cs="Arial"/>
                <w:color w:val="FFFFFF"/>
                <w:sz w:val="18"/>
                <w:szCs w:val="18"/>
              </w:rPr>
            </w:pPr>
            <w:r w:rsidRPr="00930A31">
              <w:rPr>
                <w:rFonts w:ascii="Times New Roman" w:hAnsi="Times New Roman" w:cs="Arial" w:eastAsia="Times New Roman"/>
                <w:b/>
                <w:bCs/>
                <w:color w:val="FFFFFF"/>
                <w:sz w:val="18"/>
                <w:szCs w:val="18"/>
              </w:rPr>
              <w:t>Section</w:t>
            </w:r>
            <w:r w:rsidR="00077B44" w:rsidRPr="00930A31">
              <w:rPr>
                <w:rFonts w:ascii="Times New Roman" w:hAnsi="Times New Roman" w:cs="Arial" w:eastAsia="Times New Roman"/>
                <w:b/>
                <w:bCs/>
                <w:color w:val="FFFFFF"/>
                <w:sz w:val="18"/>
                <w:szCs w:val="18"/>
              </w:rPr>
              <w:t xml:space="preserve"> and T</w:t>
            </w:r>
            <w:r w:rsidRPr="00930A31">
              <w:rPr>
                <w:rFonts w:ascii="Times New Roman" w:hAnsi="Times New Roman" w:cs="Arial" w:eastAsia="Times New Roman"/>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top"/>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Times New Roman" w:hAnsi="Times New Roman" w:cs="Arial" w:eastAsia="Times New Roman"/>
                <w:b/>
                <w:bCs/>
                <w:color w:val="FFFFFF"/>
                <w:sz w:val="18"/>
                <w:szCs w:val="18"/>
              </w:rPr>
              <w:t xml:space="preserve">Item </w:t>
            </w:r>
            <w:r w:rsidR="00FB3483" w:rsidRPr="00930A31">
              <w:rPr>
                <w:rFonts w:ascii="Times New Roman" w:hAnsi="Times New Roman" w:cs="Arial" w:eastAsia="Times New Roman"/>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top"/>
          </w:tcPr>
          <w:p w14:paraId="37BBC1C0" w14:textId="77777777" w:rsidR="00FB3483" w:rsidRPr="00930A31" w:rsidRDefault="00FB3483" w:rsidP="00550BF1">
            <w:pPr>
              <w:pStyle w:val="Default"/>
              <w:rPr>
                <w:rFonts w:ascii="Arial" w:hAnsi="Arial" w:cs="Arial"/>
                <w:color w:val="FFFFFF"/>
                <w:sz w:val="18"/>
                <w:szCs w:val="18"/>
              </w:rPr>
            </w:pPr>
            <w:r w:rsidRPr="00930A31">
              <w:rPr>
                <w:rFonts w:ascii="Times New Roman" w:hAnsi="Times New Roman" w:cs="Arial" w:eastAsia="Times New Roman"/>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top"/>
          </w:tcPr>
          <w:p w14:paraId="3904AC1B" w14:textId="54A8E613" w:rsidR="00FB3483" w:rsidRPr="00930A31" w:rsidRDefault="0018323E">
            <w:pPr>
              <w:pStyle w:val="Default"/>
              <w:rPr>
                <w:rFonts w:ascii="Arial" w:hAnsi="Arial" w:cs="Arial"/>
                <w:color w:val="FFFFFF"/>
                <w:sz w:val="18"/>
                <w:szCs w:val="18"/>
              </w:rPr>
            </w:pPr>
            <w:r w:rsidRPr="00930A31">
              <w:rPr>
                <w:rFonts w:ascii="Times New Roman" w:hAnsi="Times New Roman" w:cs="Arial" w:eastAsia="Times New Roman"/>
                <w:b/>
                <w:bCs/>
                <w:color w:val="FFFFFF"/>
                <w:sz w:val="18"/>
                <w:szCs w:val="18"/>
              </w:rPr>
              <w:t>Location where item is reported</w:t>
            </w:r>
            <w:r w:rsidR="00FB3483" w:rsidRPr="00930A31">
              <w:rPr>
                <w:rFonts w:ascii="Times New Roman" w:hAnsi="Times New Roman" w:cs="Arial" w:eastAsia="Times New Roman"/>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top"/>
          </w:tcPr>
          <w:p w14:paraId="7CEE1A7C" w14:textId="77777777" w:rsidR="00FB3483" w:rsidRPr="00930A31" w:rsidRDefault="00FB3483" w:rsidP="00947707">
            <w:pPr>
              <w:pStyle w:val="Default"/>
              <w:rPr>
                <w:rFonts w:ascii="Arial" w:hAnsi="Arial" w:cs="Arial"/>
                <w:sz w:val="18"/>
                <w:szCs w:val="18"/>
              </w:rPr>
            </w:pPr>
            <w:r w:rsidRPr="00930A31">
              <w:rPr>
                <w:rFonts w:ascii="Times New Roman" w:hAnsi="Times New Roman" w:cs="Arial" w:eastAsia="Times New Roman"/>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vAlign w:val="top"/>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vAlign w:val="top"/>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vAlign w:val="top"/>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1</w:t>
            </w:r>
          </w:p>
        </w:tc>
        <w:tc>
          <w:tcPr>
            <w:tcW w:w="11745" w:type="dxa"/>
            <w:tcBorders>
              <w:top w:val="single" w:sz="5" w:space="0" w:color="000000"/>
              <w:left w:val="single" w:sz="5" w:space="0" w:color="000000"/>
              <w:bottom w:val="double" w:sz="5" w:space="0" w:color="000000"/>
              <w:right w:val="single" w:sz="5" w:space="0" w:color="000000"/>
            </w:tcBorders>
            <w:vAlign w:val="top"/>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vAlign w:val="top"/>
          </w:tcPr>
          <w:p>
            <w:r>
              <w:rPr>
                <w:rFonts w:ascii="Times New Roman" w:hAnsi="Times New Roman" w:eastAsia="Times New Roman"/>
                <w:sz w:val="18"/>
              </w:rPr>
              <w:t>Title page: article type and title identify the report as a systematic/bibliometric review of PFO in cryptogenic stroke.</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top"/>
          </w:tcPr>
          <w:p w14:paraId="1162FC33" w14:textId="77777777" w:rsidR="00FB3483" w:rsidRPr="00930A31" w:rsidRDefault="00FB3483" w:rsidP="00947707">
            <w:pPr>
              <w:pStyle w:val="Default"/>
              <w:rPr>
                <w:rFonts w:ascii="Arial" w:hAnsi="Arial" w:cs="Arial"/>
                <w:sz w:val="18"/>
                <w:szCs w:val="18"/>
              </w:rPr>
            </w:pPr>
            <w:r w:rsidRPr="00930A31">
              <w:rPr>
                <w:rFonts w:ascii="Times New Roman" w:hAnsi="Times New Roman" w:cs="Arial" w:eastAsia="Times New Roman"/>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vAlign w:val="top"/>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vAlign w:val="top"/>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Abstract</w:t>
            </w:r>
            <w:r w:rsidR="00FB3483" w:rsidRPr="00930A31">
              <w:rPr>
                <w:rFonts w:ascii="Times New Roman" w:hAnsi="Times New Roman" w:cs="Arial" w:eastAsia="Times New Roman"/>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vAlign w:val="top"/>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2</w:t>
            </w:r>
          </w:p>
        </w:tc>
        <w:tc>
          <w:tcPr>
            <w:tcW w:w="11745" w:type="dxa"/>
            <w:tcBorders>
              <w:top w:val="single" w:sz="5" w:space="0" w:color="000000"/>
              <w:left w:val="single" w:sz="5" w:space="0" w:color="000000"/>
              <w:bottom w:val="double" w:sz="5" w:space="0" w:color="000000"/>
              <w:right w:val="single" w:sz="5" w:space="0" w:color="000000"/>
            </w:tcBorders>
            <w:vAlign w:val="top"/>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See the PRISMA 2020 for Abstracts checklist</w:t>
            </w:r>
            <w:r w:rsidR="00726794">
              <w:rPr>
                <w:rFonts w:ascii="Times New Roman" w:hAnsi="Times New Roman" w:cs="Arial" w:eastAsia="Times New Roman"/>
                <w:sz w:val="18"/>
                <w:szCs w:val="18"/>
              </w:rPr>
              <w:t>.</w:t>
            </w:r>
          </w:p>
        </w:tc>
        <w:tc>
          <w:tcPr>
            <w:tcW w:w="1200" w:type="dxa"/>
            <w:tcBorders>
              <w:top w:val="single" w:sz="5" w:space="0" w:color="000000"/>
              <w:left w:val="single" w:sz="5" w:space="0" w:color="000000"/>
              <w:bottom w:val="double" w:sz="5" w:space="0" w:color="000000"/>
              <w:right w:val="single" w:sz="5" w:space="0" w:color="000000"/>
            </w:tcBorders>
            <w:vAlign w:val="top"/>
          </w:tcPr>
          <w:p>
            <w:r>
              <w:rPr>
                <w:rFonts w:ascii="Times New Roman" w:hAnsi="Times New Roman" w:eastAsia="Times New Roman"/>
                <w:sz w:val="18"/>
              </w:rPr>
              <w:t>Abstract: structured Background, Methods, Results, and Conclusions report the data source, years searched, number of included records, bibliometric methods, and principal findings.</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top"/>
          </w:tcPr>
          <w:p w14:paraId="3D179313" w14:textId="77777777" w:rsidR="00FB3483" w:rsidRPr="00930A31" w:rsidRDefault="00FB3483" w:rsidP="00947707">
            <w:pPr>
              <w:pStyle w:val="Default"/>
              <w:rPr>
                <w:rFonts w:ascii="Arial" w:hAnsi="Arial" w:cs="Arial"/>
                <w:sz w:val="18"/>
                <w:szCs w:val="18"/>
              </w:rPr>
            </w:pPr>
            <w:r w:rsidRPr="00930A31">
              <w:rPr>
                <w:rFonts w:ascii="Times New Roman" w:hAnsi="Times New Roman" w:cs="Arial" w:eastAsia="Times New Roman"/>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vAlign w:val="top"/>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vAlign w:val="top"/>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vAlign w:val="top"/>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3</w:t>
            </w:r>
          </w:p>
        </w:tc>
        <w:tc>
          <w:tcPr>
            <w:tcW w:w="11745" w:type="dxa"/>
            <w:tcBorders>
              <w:top w:val="single" w:sz="5" w:space="0" w:color="000000"/>
              <w:left w:val="single" w:sz="5" w:space="0" w:color="000000"/>
              <w:bottom w:val="single" w:sz="5" w:space="0" w:color="000000"/>
              <w:right w:val="single" w:sz="5" w:space="0" w:color="000000"/>
            </w:tcBorders>
            <w:vAlign w:val="top"/>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Introduction, paragraphs 1–3: rationale for PFO-stroke research, clinical importance, and need for bibliometric mapping are described.</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vAlign w:val="top"/>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vAlign w:val="top"/>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4</w:t>
            </w:r>
          </w:p>
        </w:tc>
        <w:tc>
          <w:tcPr>
            <w:tcW w:w="11745" w:type="dxa"/>
            <w:tcBorders>
              <w:top w:val="single" w:sz="5" w:space="0" w:color="000000"/>
              <w:left w:val="single" w:sz="5" w:space="0" w:color="000000"/>
              <w:bottom w:val="double" w:sz="5" w:space="0" w:color="000000"/>
              <w:right w:val="single" w:sz="5" w:space="0" w:color="000000"/>
            </w:tcBorders>
            <w:vAlign w:val="top"/>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Provide an explicit statement of the objective(s)</w:t>
            </w:r>
            <w:bookmarkStart w:id="0" w:name="_GoBack"/>
            <w:bookmarkEnd w:id="0"/>
            <w:r w:rsidRPr="00930A31">
              <w:rPr>
                <w:rFonts w:ascii="Times New Roman" w:hAnsi="Times New Roman" w:cs="Arial" w:eastAsia="Times New Roman"/>
                <w:sz w:val="18"/>
                <w:szCs w:val="18"/>
              </w:rPr>
              <w:t xml:space="preserve"> or question(s) the review addresses.</w:t>
            </w:r>
          </w:p>
        </w:tc>
        <w:tc>
          <w:tcPr>
            <w:tcW w:w="1200" w:type="dxa"/>
            <w:tcBorders>
              <w:top w:val="single" w:sz="5" w:space="0" w:color="000000"/>
              <w:left w:val="single" w:sz="5" w:space="0" w:color="000000"/>
              <w:bottom w:val="double" w:sz="5" w:space="0" w:color="000000"/>
              <w:right w:val="single" w:sz="5" w:space="0" w:color="000000"/>
            </w:tcBorders>
            <w:vAlign w:val="top"/>
          </w:tcPr>
          <w:p>
            <w:r>
              <w:rPr>
                <w:rFonts w:ascii="Times New Roman" w:hAnsi="Times New Roman" w:eastAsia="Times New Roman"/>
                <w:sz w:val="18"/>
              </w:rPr>
              <w:t>Introduction, final paragraph: objective is stated as delineating research themes, influential stakeholders, geographical distribution, foundational knowledge base, and research frontiers over 2004–2024.</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top"/>
          </w:tcPr>
          <w:p w14:paraId="490BD595" w14:textId="77777777" w:rsidR="00FB3483" w:rsidRPr="00930A31" w:rsidRDefault="00FB3483" w:rsidP="00947707">
            <w:pPr>
              <w:pStyle w:val="Default"/>
              <w:rPr>
                <w:rFonts w:ascii="Arial" w:hAnsi="Arial" w:cs="Arial"/>
                <w:sz w:val="18"/>
                <w:szCs w:val="18"/>
              </w:rPr>
            </w:pPr>
            <w:r w:rsidRPr="00930A31">
              <w:rPr>
                <w:rFonts w:ascii="Times New Roman" w:hAnsi="Times New Roman" w:cs="Arial" w:eastAsia="Times New Roman"/>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vAlign w:val="top"/>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vAlign w:val="top"/>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vAlign w:val="top"/>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5</w:t>
            </w:r>
          </w:p>
        </w:tc>
        <w:tc>
          <w:tcPr>
            <w:tcW w:w="11745" w:type="dxa"/>
            <w:tcBorders>
              <w:top w:val="single" w:sz="5" w:space="0" w:color="000000"/>
              <w:left w:val="single" w:sz="5" w:space="0" w:color="000000"/>
              <w:bottom w:val="single" w:sz="5" w:space="0" w:color="000000"/>
              <w:right w:val="single" w:sz="5" w:space="0" w:color="000000"/>
            </w:tcBorders>
            <w:vAlign w:val="top"/>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Methods, Section 2.1: inclusion criteria were WoSCC/SCIE records from 2004–2024, English language, Article or Review Article, with PFO and stroke/embolism terms in title or author keywords; grouping was by bibliometric categories including countries, institutions, authors, journals, keywords, and cited references.</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vAlign w:val="top"/>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vAlign w:val="top"/>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6</w:t>
            </w:r>
          </w:p>
        </w:tc>
        <w:tc>
          <w:tcPr>
            <w:tcW w:w="11745" w:type="dxa"/>
            <w:tcBorders>
              <w:top w:val="single" w:sz="5" w:space="0" w:color="000000"/>
              <w:left w:val="single" w:sz="5" w:space="0" w:color="000000"/>
              <w:bottom w:val="single" w:sz="5" w:space="0" w:color="000000"/>
              <w:right w:val="single" w:sz="5" w:space="0" w:color="000000"/>
            </w:tcBorders>
            <w:vAlign w:val="top"/>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Methods, Section 2.1: primary source was WoSCC/SCIE searched on December 15, 2024; PubMed sensitivity search was added using title/abstract PFO and stroke/embolism terms for 2004–2024.</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vAlign w:val="top"/>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 xml:space="preserve">Search </w:t>
            </w:r>
            <w:r w:rsidR="00E66E3A" w:rsidRPr="00930A31">
              <w:rPr>
                <w:rFonts w:ascii="Times New Roman" w:hAnsi="Times New Roman" w:cs="Arial" w:eastAsia="Times New Roman"/>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vAlign w:val="top"/>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7</w:t>
            </w:r>
          </w:p>
        </w:tc>
        <w:tc>
          <w:tcPr>
            <w:tcW w:w="11745" w:type="dxa"/>
            <w:tcBorders>
              <w:top w:val="single" w:sz="5" w:space="0" w:color="000000"/>
              <w:left w:val="single" w:sz="5" w:space="0" w:color="000000"/>
              <w:bottom w:val="single" w:sz="5" w:space="0" w:color="000000"/>
              <w:right w:val="single" w:sz="5" w:space="0" w:color="000000"/>
            </w:tcBorders>
            <w:vAlign w:val="top"/>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Methods, Section 2.1: full WoSCC query and PubMed sensitivity search string are reported, including document-type, language, and date limits.</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vAlign w:val="top"/>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 xml:space="preserve">Selection </w:t>
            </w:r>
            <w:r w:rsidR="00E66E3A" w:rsidRPr="00930A31">
              <w:rPr>
                <w:rFonts w:ascii="Times New Roman" w:hAnsi="Times New Roman" w:cs="Arial" w:eastAsia="Times New Roman"/>
                <w:sz w:val="18"/>
                <w:szCs w:val="18"/>
              </w:rPr>
              <w:t>process</w:t>
            </w:r>
          </w:p>
        </w:tc>
        <w:tc>
          <w:tcPr>
            <w:tcW w:w="587" w:type="dxa"/>
            <w:tcBorders>
              <w:top w:val="single" w:sz="5" w:space="0" w:color="000000"/>
              <w:left w:val="single" w:sz="5" w:space="0" w:color="000000"/>
              <w:bottom w:val="single" w:sz="5" w:space="0" w:color="000000"/>
              <w:right w:val="single" w:sz="5" w:space="0" w:color="000000"/>
            </w:tcBorders>
            <w:vAlign w:val="top"/>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8</w:t>
            </w:r>
          </w:p>
        </w:tc>
        <w:tc>
          <w:tcPr>
            <w:tcW w:w="11745" w:type="dxa"/>
            <w:tcBorders>
              <w:top w:val="single" w:sz="5" w:space="0" w:color="000000"/>
              <w:left w:val="single" w:sz="5" w:space="0" w:color="000000"/>
              <w:bottom w:val="single" w:sz="5" w:space="0" w:color="000000"/>
              <w:right w:val="single" w:sz="5" w:space="0" w:color="000000"/>
            </w:tcBorders>
            <w:vAlign w:val="top"/>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Methods, Section 2.1 and Figure 1A: records were screened by document type, language, year, and topic relevance; 2,926 WoSCC records were reduced to 1,178 eligible articles/reviews. Screening was database-filter based with manual verification of exported records; no automation tools beyond database filters were used.</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vAlign w:val="top"/>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vAlign w:val="top"/>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9</w:t>
            </w:r>
          </w:p>
        </w:tc>
        <w:tc>
          <w:tcPr>
            <w:tcW w:w="11745" w:type="dxa"/>
            <w:tcBorders>
              <w:top w:val="single" w:sz="5" w:space="0" w:color="000000"/>
              <w:left w:val="single" w:sz="5" w:space="0" w:color="000000"/>
              <w:bottom w:val="single" w:sz="5" w:space="0" w:color="000000"/>
              <w:right w:val="single" w:sz="5" w:space="0" w:color="000000"/>
            </w:tcBorders>
            <w:vAlign w:val="top"/>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Methods, Sections 2.1–2.2: bibliographic fields including title, authors, keywords, institutions, countries/regions, citations, journal, cited references, and publication date were exported from WoSCC and standardized in Excel before VOSviewer/CiteSpace analysis.</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vAlign w:val="top"/>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vAlign w:val="top"/>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10a</w:t>
            </w:r>
          </w:p>
        </w:tc>
        <w:tc>
          <w:tcPr>
            <w:tcW w:w="11745" w:type="dxa"/>
            <w:tcBorders>
              <w:top w:val="single" w:sz="5" w:space="0" w:color="000000"/>
              <w:left w:val="single" w:sz="5" w:space="0" w:color="000000"/>
              <w:bottom w:val="single" w:sz="5" w:space="0" w:color="000000"/>
              <w:right w:val="single" w:sz="5" w:space="0" w:color="000000"/>
            </w:tcBorders>
            <w:vAlign w:val="top"/>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Not applicable as a clinical outcome meta-analysis item. The review sought bibliometric outcomes rather than patient-level clinical outcomes: annual publication/citation trends, country/institution/author/journal productivity, keyword co-occurrence, citation bursts, co-citation clusters, and collaboration networks.</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vAlign w:val="top"/>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10b</w:t>
            </w:r>
          </w:p>
        </w:tc>
        <w:tc>
          <w:tcPr>
            <w:tcW w:w="11745" w:type="dxa"/>
            <w:tcBorders>
              <w:top w:val="single" w:sz="5" w:space="0" w:color="000000"/>
              <w:left w:val="single" w:sz="5" w:space="0" w:color="000000"/>
              <w:bottom w:val="single" w:sz="5" w:space="0" w:color="000000"/>
              <w:right w:val="single" w:sz="5" w:space="0" w:color="000000"/>
            </w:tcBorders>
            <w:vAlign w:val="top"/>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Methods, Sections 2.1–2.2: variables included publication year, document type, language, country/region, institution, author, journal, author keywords, cited references, citation counts, and link strength. Missing or inconsistent terms were standardized before visualization.</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vAlign w:val="top"/>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Study r</w:t>
            </w:r>
            <w:r w:rsidR="00FB3483" w:rsidRPr="00930A31">
              <w:rPr>
                <w:rFonts w:ascii="Times New Roman" w:hAnsi="Times New Roman" w:cs="Arial" w:eastAsia="Times New Roman"/>
                <w:sz w:val="18"/>
                <w:szCs w:val="18"/>
              </w:rPr>
              <w:t xml:space="preserve">isk of bias </w:t>
            </w:r>
            <w:r w:rsidRPr="00930A31">
              <w:rPr>
                <w:rFonts w:ascii="Times New Roman" w:hAnsi="Times New Roman" w:cs="Arial" w:eastAsia="Times New Roman"/>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vAlign w:val="top"/>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1</w:t>
            </w:r>
            <w:r w:rsidR="00E66E3A" w:rsidRPr="00930A31">
              <w:rPr>
                <w:rFonts w:ascii="Times New Roman" w:hAnsi="Times New Roman" w:cs="Arial" w:eastAsia="Times New Roman"/>
                <w:sz w:val="18"/>
                <w:szCs w:val="18"/>
              </w:rPr>
              <w:t>1</w:t>
            </w:r>
          </w:p>
        </w:tc>
        <w:tc>
          <w:tcPr>
            <w:tcW w:w="11745" w:type="dxa"/>
            <w:tcBorders>
              <w:top w:val="single" w:sz="5" w:space="0" w:color="000000"/>
              <w:left w:val="single" w:sz="5" w:space="0" w:color="000000"/>
              <w:bottom w:val="single" w:sz="5" w:space="0" w:color="000000"/>
              <w:right w:val="single" w:sz="5" w:space="0" w:color="000000"/>
            </w:tcBorders>
            <w:vAlign w:val="top"/>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Not applicable to the primary bibliometric synthesis because the unit of analysis was bibliographic records rather than comparative clinical outcome studies. This is explicitly acknowledged in Strengths and Limitations, with ROBINS-I recommended for future clinical meta-analyses of non-randomized studies.</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vAlign w:val="top"/>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Effect</w:t>
            </w:r>
            <w:r w:rsidR="00FB3483" w:rsidRPr="00930A31">
              <w:rPr>
                <w:rFonts w:ascii="Times New Roman" w:hAnsi="Times New Roman" w:cs="Arial" w:eastAsia="Times New Roman"/>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vAlign w:val="top"/>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1</w:t>
            </w:r>
            <w:r w:rsidR="00E66E3A" w:rsidRPr="00930A31">
              <w:rPr>
                <w:rFonts w:ascii="Times New Roman" w:hAnsi="Times New Roman" w:cs="Arial" w:eastAsia="Times New Roman"/>
                <w:sz w:val="18"/>
                <w:szCs w:val="18"/>
              </w:rPr>
              <w:t>2</w:t>
            </w:r>
          </w:p>
        </w:tc>
        <w:tc>
          <w:tcPr>
            <w:tcW w:w="11745" w:type="dxa"/>
            <w:tcBorders>
              <w:top w:val="single" w:sz="5" w:space="0" w:color="000000"/>
              <w:left w:val="single" w:sz="5" w:space="0" w:color="000000"/>
              <w:bottom w:val="single" w:sz="5" w:space="0" w:color="000000"/>
              <w:right w:val="single" w:sz="5" w:space="0" w:color="000000"/>
            </w:tcBorders>
            <w:vAlign w:val="top"/>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Not applicable to clinical effect measures because no treatment-effect meta-analysis was performed. Bibliometric measures were publication counts, citation counts, centrality, total link strength, burst strength, co-occurrence frequency, and polynomial trend fit.</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vAlign w:val="top"/>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vAlign w:val="top"/>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13a</w:t>
            </w:r>
          </w:p>
        </w:tc>
        <w:tc>
          <w:tcPr>
            <w:tcW w:w="11745" w:type="dxa"/>
            <w:tcBorders>
              <w:top w:val="single" w:sz="5" w:space="0" w:color="000000"/>
              <w:left w:val="single" w:sz="5" w:space="0" w:color="000000"/>
              <w:bottom w:val="single" w:sz="5" w:space="0" w:color="000000"/>
              <w:right w:val="single" w:sz="5" w:space="0" w:color="000000"/>
            </w:tcBorders>
            <w:vAlign w:val="top"/>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Methods, Sections 2.1–2.2: all eligible WoSCC records were included in bibliometric syntheses; analyses were grouped by country/region, institution, author, journal, keyword, and cited-reference networks.</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vAlign w:val="top"/>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13b</w:t>
            </w:r>
          </w:p>
        </w:tc>
        <w:tc>
          <w:tcPr>
            <w:tcW w:w="11745" w:type="dxa"/>
            <w:tcBorders>
              <w:top w:val="single" w:sz="5" w:space="0" w:color="000000"/>
              <w:left w:val="single" w:sz="5" w:space="0" w:color="000000"/>
              <w:bottom w:val="single" w:sz="5" w:space="0" w:color="000000"/>
              <w:right w:val="single" w:sz="5" w:space="0" w:color="000000"/>
            </w:tcBorders>
            <w:vAlign w:val="top"/>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Methods, Section 2.2: exported WoSCC data were standardized in Excel; CiteSpace used annual time slicing from 2004–2024 with top N=50 per slice and pruning; VOSviewer used full counting.</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vAlign w:val="top"/>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13c</w:t>
            </w:r>
          </w:p>
        </w:tc>
        <w:tc>
          <w:tcPr>
            <w:tcW w:w="11745" w:type="dxa"/>
            <w:tcBorders>
              <w:top w:val="single" w:sz="5" w:space="0" w:color="000000"/>
              <w:left w:val="single" w:sz="5" w:space="0" w:color="000000"/>
              <w:bottom w:val="single" w:sz="5" w:space="0" w:color="000000"/>
              <w:right w:val="single" w:sz="5" w:space="0" w:color="000000"/>
            </w:tcBorders>
            <w:vAlign w:val="top"/>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Methods, Section 2.2; Results, Sections 3.1–3.7; Figures 1–8 and Tables 1–3: results were displayed using line/trend plots, co-occurrence networks, co-citation maps, burst plots, collaboration maps, and summary tables.</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vAlign w:val="top"/>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13d</w:t>
            </w:r>
          </w:p>
        </w:tc>
        <w:tc>
          <w:tcPr>
            <w:tcW w:w="11745" w:type="dxa"/>
            <w:tcBorders>
              <w:top w:val="single" w:sz="5" w:space="0" w:color="000000"/>
              <w:left w:val="single" w:sz="5" w:space="0" w:color="000000"/>
              <w:bottom w:val="single" w:sz="5" w:space="0" w:color="000000"/>
              <w:right w:val="single" w:sz="5" w:space="0" w:color="000000"/>
            </w:tcBorders>
            <w:vAlign w:val="top"/>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Methods, Section 2.2: narrative and quantitative bibliometric synthesis was performed using VOSviewer, CiteSpace, and Excel. No meta-analysis was performed because the objective was field mapping rather than pooling patient outcome estimates.</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vAlign w:val="top"/>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13e</w:t>
            </w:r>
          </w:p>
        </w:tc>
        <w:tc>
          <w:tcPr>
            <w:tcW w:w="11745" w:type="dxa"/>
            <w:tcBorders>
              <w:top w:val="single" w:sz="5" w:space="0" w:color="000000"/>
              <w:left w:val="single" w:sz="5" w:space="0" w:color="000000"/>
              <w:bottom w:val="single" w:sz="5" w:space="0" w:color="000000"/>
              <w:right w:val="single" w:sz="5" w:space="0" w:color="000000"/>
            </w:tcBorders>
            <w:vAlign w:val="top"/>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Not applicable to clinical heterogeneity analyses because no meta-analysis was performed. Bibliometric heterogeneity was explored descriptively through temporal evolution, cluster analysis, country/institution networks, keyword bursts, and co-citation clusters.</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vAlign w:val="top"/>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13f</w:t>
            </w:r>
          </w:p>
        </w:tc>
        <w:tc>
          <w:tcPr>
            <w:tcW w:w="11745" w:type="dxa"/>
            <w:tcBorders>
              <w:top w:val="single" w:sz="5" w:space="0" w:color="000000"/>
              <w:left w:val="single" w:sz="5" w:space="0" w:color="000000"/>
              <w:bottom w:val="single" w:sz="5" w:space="0" w:color="000000"/>
              <w:right w:val="single" w:sz="5" w:space="0" w:color="000000"/>
            </w:tcBorders>
            <w:vAlign w:val="top"/>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Methods, Sections 2.1–2.2 and Table 3: PubMed sensitivity retrieval assessed database coverage, and leave-one-out cross-validation assessed robustness of the polynomial publication-growth model.</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vAlign w:val="top"/>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vAlign w:val="top"/>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14</w:t>
            </w:r>
          </w:p>
        </w:tc>
        <w:tc>
          <w:tcPr>
            <w:tcW w:w="11745" w:type="dxa"/>
            <w:tcBorders>
              <w:top w:val="single" w:sz="5" w:space="0" w:color="000000"/>
              <w:left w:val="single" w:sz="5" w:space="0" w:color="000000"/>
              <w:bottom w:val="single" w:sz="5" w:space="0" w:color="000000"/>
              <w:right w:val="single" w:sz="5" w:space="0" w:color="000000"/>
            </w:tcBorders>
            <w:vAlign w:val="top"/>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Not applicable to clinical reporting-bias assessment because no outcome meta-analysis was performed. Database-selection and language biases are discussed as review-process limitations in Section 4.3.</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vAlign w:val="top"/>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vAlign w:val="top"/>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15</w:t>
            </w:r>
          </w:p>
        </w:tc>
        <w:tc>
          <w:tcPr>
            <w:tcW w:w="11745" w:type="dxa"/>
            <w:tcBorders>
              <w:top w:val="single" w:sz="5" w:space="0" w:color="000000"/>
              <w:left w:val="single" w:sz="5" w:space="0" w:color="000000"/>
              <w:bottom w:val="single" w:sz="5" w:space="0" w:color="000000"/>
              <w:right w:val="single" w:sz="5" w:space="0" w:color="000000"/>
            </w:tcBorders>
            <w:vAlign w:val="top"/>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Not applicable because no GRADE or comparable certainty assessment was conducted for clinical intervention outcomes. The manuscript states that future focused systematic reviews/meta-analyses should include risk-of-bias and certainty assessment.</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top"/>
          </w:tcPr>
          <w:p w14:paraId="1657D220" w14:textId="77777777" w:rsidR="00FB3483" w:rsidRPr="00930A31" w:rsidRDefault="00FB3483" w:rsidP="00947707">
            <w:pPr>
              <w:pStyle w:val="Default"/>
              <w:rPr>
                <w:rFonts w:ascii="Arial" w:hAnsi="Arial" w:cs="Arial"/>
                <w:sz w:val="18"/>
                <w:szCs w:val="18"/>
              </w:rPr>
            </w:pPr>
            <w:r w:rsidRPr="00930A31">
              <w:rPr>
                <w:rFonts w:ascii="Times New Roman" w:hAnsi="Times New Roman" w:cs="Arial" w:eastAsia="Times New Roman"/>
                <w:b/>
                <w:bCs/>
                <w:sz w:val="18"/>
                <w:szCs w:val="18"/>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vAlign w:val="top"/>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vAlign w:val="top"/>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vAlign w:val="top"/>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16a</w:t>
            </w:r>
          </w:p>
        </w:tc>
        <w:tc>
          <w:tcPr>
            <w:tcW w:w="11745" w:type="dxa"/>
            <w:tcBorders>
              <w:top w:val="single" w:sz="5" w:space="0" w:color="000000"/>
              <w:left w:val="single" w:sz="5" w:space="0" w:color="000000"/>
              <w:bottom w:val="single" w:sz="5" w:space="0" w:color="000000"/>
              <w:right w:val="single" w:sz="5" w:space="0" w:color="000000"/>
            </w:tcBorders>
            <w:vAlign w:val="top"/>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Describe the results of the search and selection process, from the number of records identified in the search to the number of studies included in the review, ideally using a flow diagram</w:t>
            </w:r>
            <w:r w:rsidR="00AE4BBD">
              <w:rPr>
                <w:rFonts w:ascii="Times New Roman" w:hAnsi="Times New Roman" w:cs="Arial" w:eastAsia="Times New Roman"/>
                <w:sz w:val="18"/>
                <w:szCs w:val="18"/>
              </w:rPr>
              <w:t>.</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Results, Figure 1A and Methods, Section 2.1: 2,926 WoSCC records were identified, filtered by article/review type and English language, and 1,178 publications were included. PubMed sensitivity search identified 3,497 records before bibliometric field harmonization.</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vAlign w:val="top"/>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16b</w:t>
            </w:r>
          </w:p>
        </w:tc>
        <w:tc>
          <w:tcPr>
            <w:tcW w:w="11745" w:type="dxa"/>
            <w:tcBorders>
              <w:top w:val="single" w:sz="5" w:space="0" w:color="000000"/>
              <w:left w:val="single" w:sz="5" w:space="0" w:color="000000"/>
              <w:bottom w:val="single" w:sz="5" w:space="0" w:color="000000"/>
              <w:right w:val="single" w:sz="5" w:space="0" w:color="000000"/>
            </w:tcBorders>
            <w:vAlign w:val="top"/>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Not applicable in the conventional PRISMA excluded-study-list sense because this bibliometric review used database-level filtering rather than full-text clinical eligibility assessment. Exclusion reasons are summarized in Figure 1A and Methods (document type, language, and nonmatching bibliometric criteria).</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vAlign w:val="top"/>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vAlign w:val="top"/>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1</w:t>
            </w:r>
            <w:r w:rsidR="00B51910" w:rsidRPr="00930A31">
              <w:rPr>
                <w:rFonts w:ascii="Times New Roman" w:hAnsi="Times New Roman" w:cs="Arial" w:eastAsia="Times New Roman"/>
                <w:sz w:val="18"/>
                <w:szCs w:val="18"/>
              </w:rPr>
              <w:t>7</w:t>
            </w:r>
          </w:p>
        </w:tc>
        <w:tc>
          <w:tcPr>
            <w:tcW w:w="11745" w:type="dxa"/>
            <w:tcBorders>
              <w:top w:val="single" w:sz="5" w:space="0" w:color="000000"/>
              <w:left w:val="single" w:sz="5" w:space="0" w:color="000000"/>
              <w:bottom w:val="single" w:sz="5" w:space="0" w:color="000000"/>
              <w:right w:val="single" w:sz="5" w:space="0" w:color="000000"/>
            </w:tcBorders>
            <w:vAlign w:val="top"/>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Results, Sections 3.1–3.7; Tables 1–3; Figures 1–8: included records are characterized by annual trends, countries/regions, institutions, authors, journals, keywords, and cited-reference networks rather than by clinical trial characteristics.</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vAlign w:val="top"/>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 xml:space="preserve">Risk of bias </w:t>
            </w:r>
            <w:r w:rsidR="00B51910" w:rsidRPr="00930A31">
              <w:rPr>
                <w:rFonts w:ascii="Times New Roman" w:hAnsi="Times New Roman" w:cs="Arial" w:eastAsia="Times New Roman"/>
                <w:sz w:val="18"/>
                <w:szCs w:val="18"/>
              </w:rPr>
              <w:t>in</w:t>
            </w:r>
            <w:r w:rsidRPr="00930A31">
              <w:rPr>
                <w:rFonts w:ascii="Times New Roman" w:hAnsi="Times New Roman" w:cs="Arial" w:eastAsia="Times New Roman"/>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vAlign w:val="top"/>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1</w:t>
            </w:r>
            <w:r w:rsidR="00B51910" w:rsidRPr="00930A31">
              <w:rPr>
                <w:rFonts w:ascii="Times New Roman" w:hAnsi="Times New Roman" w:cs="Arial" w:eastAsia="Times New Roman"/>
                <w:sz w:val="18"/>
                <w:szCs w:val="18"/>
              </w:rPr>
              <w:t>8</w:t>
            </w:r>
          </w:p>
        </w:tc>
        <w:tc>
          <w:tcPr>
            <w:tcW w:w="11745" w:type="dxa"/>
            <w:tcBorders>
              <w:top w:val="single" w:sz="5" w:space="0" w:color="000000"/>
              <w:left w:val="single" w:sz="5" w:space="0" w:color="000000"/>
              <w:bottom w:val="single" w:sz="5" w:space="0" w:color="000000"/>
              <w:right w:val="single" w:sz="5" w:space="0" w:color="000000"/>
            </w:tcBorders>
            <w:vAlign w:val="top"/>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Not applicable to the bibliometric dataset; no per-study risk-of-bias assessment was performed. This limitation is reported in Section 4.3.</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vAlign w:val="top"/>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vAlign w:val="top"/>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19</w:t>
            </w:r>
          </w:p>
        </w:tc>
        <w:tc>
          <w:tcPr>
            <w:tcW w:w="11745" w:type="dxa"/>
            <w:tcBorders>
              <w:top w:val="single" w:sz="5" w:space="0" w:color="000000"/>
              <w:left w:val="single" w:sz="5" w:space="0" w:color="000000"/>
              <w:bottom w:val="single" w:sz="5" w:space="0" w:color="000000"/>
              <w:right w:val="single" w:sz="5" w:space="0" w:color="000000"/>
            </w:tcBorders>
            <w:vAlign w:val="top"/>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 xml:space="preserve">For all outcomes, present, for each study: (a) summary statistics for each group (where appropriate) and (b) an effect </w:t>
            </w:r>
            <w:proofErr w:type="gramStart"/>
            <w:r w:rsidRPr="00930A31">
              <w:rPr>
                <w:rFonts w:ascii="Times New Roman" w:hAnsi="Times New Roman" w:cs="Arial" w:eastAsia="Times New Roman"/>
                <w:sz w:val="18"/>
                <w:szCs w:val="18"/>
              </w:rPr>
              <w:t>estimate</w:t>
            </w:r>
            <w:proofErr w:type="gramEnd"/>
            <w:r w:rsidRPr="00930A31">
              <w:rPr>
                <w:rFonts w:ascii="Times New Roman" w:hAnsi="Times New Roman" w:cs="Arial" w:eastAsia="Times New Roman"/>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Not applicable because no individual clinical outcome effects were extracted or pooled. Individual influential studies are identified through co-citation and burst analyses in Section 3.7 and Figure 3/Figure 8.</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vAlign w:val="top"/>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vAlign w:val="top"/>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20a</w:t>
            </w:r>
          </w:p>
        </w:tc>
        <w:tc>
          <w:tcPr>
            <w:tcW w:w="11745" w:type="dxa"/>
            <w:tcBorders>
              <w:top w:val="single" w:sz="5" w:space="0" w:color="000000"/>
              <w:left w:val="single" w:sz="5" w:space="0" w:color="000000"/>
              <w:bottom w:val="single" w:sz="5" w:space="0" w:color="000000"/>
              <w:right w:val="single" w:sz="5" w:space="0" w:color="000000"/>
            </w:tcBorders>
            <w:vAlign w:val="top"/>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Results, Sections 3.1–3.7: each bibliometric synthesis summarizes contributing publication records by domain. Risk of bias among clinical studies was not assessed because the synthesis was bibliometric.</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vAlign w:val="top"/>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20b</w:t>
            </w:r>
          </w:p>
        </w:tc>
        <w:tc>
          <w:tcPr>
            <w:tcW w:w="11745" w:type="dxa"/>
            <w:tcBorders>
              <w:top w:val="single" w:sz="5" w:space="0" w:color="000000"/>
              <w:left w:val="single" w:sz="5" w:space="0" w:color="000000"/>
              <w:bottom w:val="single" w:sz="5" w:space="0" w:color="000000"/>
              <w:right w:val="single" w:sz="5" w:space="0" w:color="000000"/>
            </w:tcBorders>
            <w:vAlign w:val="top"/>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Results, Sections 3.1–3.7; Figures 1–8; Tables 1–3: statistical bibliometric results include annual publication/citation trends, polynomial fit, top contributors, keyword frequencies, citation bursts, and co-citation networks. No meta-analysis was performed.</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vAlign w:val="top"/>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20c</w:t>
            </w:r>
          </w:p>
        </w:tc>
        <w:tc>
          <w:tcPr>
            <w:tcW w:w="11745" w:type="dxa"/>
            <w:tcBorders>
              <w:top w:val="single" w:sz="5" w:space="0" w:color="000000"/>
              <w:left w:val="single" w:sz="5" w:space="0" w:color="000000"/>
              <w:bottom w:val="single" w:sz="5" w:space="0" w:color="000000"/>
              <w:right w:val="single" w:sz="5" w:space="0" w:color="000000"/>
            </w:tcBorders>
            <w:vAlign w:val="top"/>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Results and Discussion: heterogeneity in the research landscape is explored descriptively by time period, geography, institution, author group, journal category, keyword cluster, and cited-reference cluster.</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vAlign w:val="top"/>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20d</w:t>
            </w:r>
          </w:p>
        </w:tc>
        <w:tc>
          <w:tcPr>
            <w:tcW w:w="11745" w:type="dxa"/>
            <w:tcBorders>
              <w:top w:val="single" w:sz="5" w:space="0" w:color="000000"/>
              <w:left w:val="single" w:sz="5" w:space="0" w:color="000000"/>
              <w:bottom w:val="single" w:sz="5" w:space="0" w:color="000000"/>
              <w:right w:val="single" w:sz="5" w:space="0" w:color="000000"/>
            </w:tcBorders>
            <w:vAlign w:val="top"/>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Methods/Table 3 and Results: sensitivity analyses include PubMed sensitivity retrieval and leave-one-out cross-validation for the publication-growth model.</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vAlign w:val="top"/>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vAlign w:val="top"/>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2</w:t>
            </w:r>
            <w:r w:rsidR="00B51910" w:rsidRPr="00930A31">
              <w:rPr>
                <w:rFonts w:ascii="Times New Roman" w:hAnsi="Times New Roman" w:cs="Arial" w:eastAsia="Times New Roman"/>
                <w:sz w:val="18"/>
                <w:szCs w:val="18"/>
              </w:rPr>
              <w:t>1</w:t>
            </w:r>
          </w:p>
        </w:tc>
        <w:tc>
          <w:tcPr>
            <w:tcW w:w="11745" w:type="dxa"/>
            <w:tcBorders>
              <w:top w:val="single" w:sz="5" w:space="0" w:color="000000"/>
              <w:left w:val="single" w:sz="5" w:space="0" w:color="000000"/>
              <w:bottom w:val="single" w:sz="5" w:space="0" w:color="000000"/>
              <w:right w:val="single" w:sz="5" w:space="0" w:color="000000"/>
            </w:tcBorders>
            <w:vAlign w:val="top"/>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Times New Roman" w:hAnsi="Times New Roman" w:cs="Arial" w:eastAsia="Times New Roman"/>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Not applicable to clinical missing-results reporting bias. Limitations related to database selection, language restriction, and WoSCC dependence are reported in Section 4.3.</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vAlign w:val="top"/>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Times New Roman" w:hAnsi="Times New Roman" w:cs="Arial" w:eastAsia="Times New Roman"/>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vAlign w:val="top"/>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22</w:t>
            </w:r>
          </w:p>
        </w:tc>
        <w:tc>
          <w:tcPr>
            <w:tcW w:w="11745" w:type="dxa"/>
            <w:tcBorders>
              <w:top w:val="single" w:sz="5" w:space="0" w:color="000000"/>
              <w:left w:val="single" w:sz="5" w:space="0" w:color="000000"/>
              <w:bottom w:val="single" w:sz="5" w:space="0" w:color="000000"/>
              <w:right w:val="single" w:sz="5" w:space="0" w:color="000000"/>
            </w:tcBorders>
            <w:vAlign w:val="top"/>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Times New Roman" w:hAnsi="Times New Roman" w:cs="Arial" w:eastAsia="Times New Roman"/>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Not applicable; no certainty-of-evidence assessment was performed for clinical outcomes. This is reported as a limitation and future direction.</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top"/>
          </w:tcPr>
          <w:p w14:paraId="485952A3" w14:textId="77777777" w:rsidR="00077B44" w:rsidRPr="00930A31" w:rsidRDefault="00077B44" w:rsidP="00077B44">
            <w:pPr>
              <w:pStyle w:val="Default"/>
              <w:rPr>
                <w:rFonts w:ascii="Arial" w:hAnsi="Arial" w:cs="Arial"/>
                <w:sz w:val="18"/>
                <w:szCs w:val="18"/>
              </w:rPr>
            </w:pPr>
            <w:r w:rsidRPr="00930A31">
              <w:rPr>
                <w:rFonts w:ascii="Times New Roman" w:hAnsi="Times New Roman" w:cs="Arial" w:eastAsia="Times New Roman"/>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vAlign w:val="top"/>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vAlign w:val="top"/>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Times New Roman" w:hAnsi="Times New Roman" w:cs="Arial" w:eastAsia="Times New Roman"/>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vAlign w:val="top"/>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23a</w:t>
            </w:r>
          </w:p>
        </w:tc>
        <w:tc>
          <w:tcPr>
            <w:tcW w:w="11745" w:type="dxa"/>
            <w:tcBorders>
              <w:top w:val="single" w:sz="5" w:space="0" w:color="000000"/>
              <w:left w:val="single" w:sz="5" w:space="0" w:color="000000"/>
              <w:bottom w:val="single" w:sz="5" w:space="0" w:color="000000"/>
              <w:right w:val="single" w:sz="5" w:space="0" w:color="000000"/>
            </w:tcBorders>
            <w:vAlign w:val="top"/>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Times New Roman" w:hAnsi="Times New Roman" w:cs="Arial" w:eastAsia="Times New Roman"/>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Discussion, Sections 4.1–4.2: findings are interpreted in the context of diagnostic, interventional, antithrombotic, and guideline-related PFO-stroke literature.</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vAlign w:val="top"/>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23b</w:t>
            </w:r>
          </w:p>
        </w:tc>
        <w:tc>
          <w:tcPr>
            <w:tcW w:w="11745" w:type="dxa"/>
            <w:tcBorders>
              <w:top w:val="single" w:sz="5" w:space="0" w:color="000000"/>
              <w:left w:val="single" w:sz="5" w:space="0" w:color="000000"/>
              <w:bottom w:val="single" w:sz="5" w:space="0" w:color="000000"/>
              <w:right w:val="single" w:sz="5" w:space="0" w:color="000000"/>
            </w:tcBorders>
            <w:vAlign w:val="top"/>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Times New Roman" w:hAnsi="Times New Roman" w:cs="Arial" w:eastAsia="Times New Roman"/>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Discussion, Section 4.3: limitations of the included evidence and bibliometric data source are discussed, including English/WoSCC restriction, lack of clinical risk-of-bias assessment, and incomplete late-2024 indexing.</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vAlign w:val="top"/>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23c</w:t>
            </w:r>
          </w:p>
        </w:tc>
        <w:tc>
          <w:tcPr>
            <w:tcW w:w="11745" w:type="dxa"/>
            <w:tcBorders>
              <w:top w:val="single" w:sz="5" w:space="0" w:color="000000"/>
              <w:left w:val="single" w:sz="5" w:space="0" w:color="000000"/>
              <w:bottom w:val="single" w:sz="5" w:space="0" w:color="000000"/>
              <w:right w:val="single" w:sz="5" w:space="0" w:color="000000"/>
            </w:tcBorders>
            <w:vAlign w:val="top"/>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Times New Roman" w:hAnsi="Times New Roman" w:cs="Arial" w:eastAsia="Times New Roman"/>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Discussion, Section 4.3: limitations of the review process include database-selection bias, title/keyword search specificity, no ROBINS-I assessment, no meta-analysis, and final search date of December 15, 2024.</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vAlign w:val="top"/>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23d</w:t>
            </w:r>
          </w:p>
        </w:tc>
        <w:tc>
          <w:tcPr>
            <w:tcW w:w="11745" w:type="dxa"/>
            <w:tcBorders>
              <w:top w:val="single" w:sz="5" w:space="0" w:color="000000"/>
              <w:left w:val="single" w:sz="4" w:space="0" w:color="auto"/>
              <w:bottom w:val="double" w:sz="5" w:space="0" w:color="000000"/>
              <w:right w:val="single" w:sz="5" w:space="0" w:color="000000"/>
            </w:tcBorders>
            <w:vAlign w:val="top"/>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Times New Roman" w:hAnsi="Times New Roman" w:cs="Arial" w:eastAsia="Times New Roman"/>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vAlign w:val="top"/>
          </w:tcPr>
          <w:p>
            <w:r>
              <w:rPr>
                <w:rFonts w:ascii="Times New Roman" w:hAnsi="Times New Roman" w:eastAsia="Times New Roman"/>
                <w:sz w:val="18"/>
              </w:rPr>
              <w:t>Discussion and Conclusions: implications include need for personalized PFO closure selection, older-patient trials, primary-prevention evidence, DOAC comparisons, residual-shunt surveillance, AF prediction, and interdisciplinary collaboration.</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top"/>
          </w:tcPr>
          <w:p w14:paraId="46DD6FCA" w14:textId="732DB515" w:rsidR="00077B44" w:rsidRPr="00930A31" w:rsidRDefault="00077B44" w:rsidP="00077B44">
            <w:pPr>
              <w:pStyle w:val="Default"/>
              <w:rPr>
                <w:rFonts w:ascii="Arial" w:hAnsi="Arial" w:cs="Arial"/>
                <w:sz w:val="18"/>
                <w:szCs w:val="18"/>
              </w:rPr>
            </w:pPr>
            <w:r w:rsidRPr="00930A31">
              <w:rPr>
                <w:rFonts w:ascii="Times New Roman" w:hAnsi="Times New Roman" w:cs="Arial" w:eastAsia="Times New Roman"/>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vAlign w:val="top"/>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vAlign w:val="top"/>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Times New Roman" w:hAnsi="Times New Roman" w:cs="Arial" w:eastAsia="Times New Roman"/>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vAlign w:val="top"/>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24a</w:t>
            </w:r>
          </w:p>
        </w:tc>
        <w:tc>
          <w:tcPr>
            <w:tcW w:w="11745" w:type="dxa"/>
            <w:tcBorders>
              <w:top w:val="single" w:sz="5" w:space="0" w:color="000000"/>
              <w:left w:val="single" w:sz="5" w:space="0" w:color="000000"/>
              <w:bottom w:val="single" w:sz="5" w:space="0" w:color="000000"/>
              <w:right w:val="single" w:sz="5" w:space="0" w:color="000000"/>
            </w:tcBorders>
            <w:vAlign w:val="top"/>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Times New Roman" w:hAnsi="Times New Roman" w:cs="Arial" w:eastAsia="Times New Roman"/>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Other information: the review was not prospectively registered because it was a bibliometric analysis based on publicly available bibliographic records.</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vAlign w:val="top"/>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24b</w:t>
            </w:r>
          </w:p>
        </w:tc>
        <w:tc>
          <w:tcPr>
            <w:tcW w:w="11745" w:type="dxa"/>
            <w:tcBorders>
              <w:top w:val="single" w:sz="5" w:space="0" w:color="000000"/>
              <w:left w:val="single" w:sz="5" w:space="0" w:color="000000"/>
              <w:bottom w:val="single" w:sz="5" w:space="0" w:color="000000"/>
              <w:right w:val="single" w:sz="5" w:space="0" w:color="000000"/>
            </w:tcBorders>
            <w:vAlign w:val="top"/>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Times New Roman" w:hAnsi="Times New Roman" w:cs="Arial" w:eastAsia="Times New Roman"/>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Other information: no separate protocol was prepared or publicly posted before the bibliometric analysis.</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vAlign w:val="top"/>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24c</w:t>
            </w:r>
          </w:p>
        </w:tc>
        <w:tc>
          <w:tcPr>
            <w:tcW w:w="11745" w:type="dxa"/>
            <w:tcBorders>
              <w:top w:val="single" w:sz="5" w:space="0" w:color="000000"/>
              <w:left w:val="single" w:sz="5" w:space="0" w:color="000000"/>
              <w:bottom w:val="single" w:sz="5" w:space="0" w:color="000000"/>
              <w:right w:val="single" w:sz="5" w:space="0" w:color="000000"/>
            </w:tcBorders>
            <w:vAlign w:val="top"/>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Times New Roman" w:hAnsi="Times New Roman" w:cs="Arial" w:eastAsia="Times New Roman"/>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Not applicable; no registered protocol existed, so there were no protocol amendments.</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vAlign w:val="top"/>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Times New Roman" w:hAnsi="Times New Roman" w:cs="Arial" w:eastAsia="Times New Roman"/>
                <w:sz w:val="18"/>
                <w:szCs w:val="18"/>
              </w:rPr>
              <w:t>Support</w:t>
            </w:r>
          </w:p>
        </w:tc>
        <w:tc>
          <w:tcPr>
            <w:tcW w:w="587" w:type="dxa"/>
            <w:tcBorders>
              <w:top w:val="single" w:sz="5" w:space="0" w:color="000000"/>
              <w:left w:val="single" w:sz="5" w:space="0" w:color="000000"/>
              <w:bottom w:val="single" w:sz="5" w:space="0" w:color="000000"/>
              <w:right w:val="single" w:sz="5" w:space="0" w:color="000000"/>
            </w:tcBorders>
            <w:vAlign w:val="top"/>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25</w:t>
            </w:r>
          </w:p>
        </w:tc>
        <w:tc>
          <w:tcPr>
            <w:tcW w:w="11745" w:type="dxa"/>
            <w:tcBorders>
              <w:top w:val="single" w:sz="5" w:space="0" w:color="000000"/>
              <w:left w:val="single" w:sz="5" w:space="0" w:color="000000"/>
              <w:bottom w:val="single" w:sz="5" w:space="0" w:color="000000"/>
              <w:right w:val="single" w:sz="5" w:space="0" w:color="000000"/>
            </w:tcBorders>
            <w:vAlign w:val="top"/>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Times New Roman" w:hAnsi="Times New Roman" w:cs="Arial" w:eastAsia="Times New Roman"/>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Funding section: supported by the 2024 Hebei Provincial Health Commission Key Science and Technology Research Plan (No. 20241850) and the 2024 Hebei Provincial Medical Applicability Follow-up Project (No. 20240278). The manuscript does not report funder influence on study design, analysis, or writing.</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vAlign w:val="top"/>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Times New Roman" w:hAnsi="Times New Roman" w:cs="Arial" w:eastAsia="Times New Roman"/>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vAlign w:val="top"/>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26</w:t>
            </w:r>
          </w:p>
        </w:tc>
        <w:tc>
          <w:tcPr>
            <w:tcW w:w="11745" w:type="dxa"/>
            <w:tcBorders>
              <w:top w:val="single" w:sz="5" w:space="0" w:color="000000"/>
              <w:left w:val="single" w:sz="5" w:space="0" w:color="000000"/>
              <w:bottom w:val="single" w:sz="5" w:space="0" w:color="000000"/>
              <w:right w:val="single" w:sz="5" w:space="0" w:color="000000"/>
            </w:tcBorders>
            <w:vAlign w:val="top"/>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Times New Roman" w:hAnsi="Times New Roman" w:cs="Arial" w:eastAsia="Times New Roman"/>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vAlign w:val="top"/>
          </w:tcPr>
          <w:p>
            <w:r>
              <w:rPr>
                <w:rFonts w:ascii="Times New Roman" w:hAnsi="Times New Roman" w:eastAsia="Times New Roman"/>
                <w:sz w:val="18"/>
              </w:rPr>
              <w:t>Competing interests section: authors declare no competing interests.</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vAlign w:val="top"/>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Times New Roman" w:hAnsi="Times New Roman" w:cs="Arial" w:eastAsia="Times New Roman"/>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vAlign w:val="top"/>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Times New Roman" w:hAnsi="Times New Roman" w:cs="Arial" w:eastAsia="Times New Roman"/>
                <w:sz w:val="18"/>
                <w:szCs w:val="18"/>
              </w:rPr>
              <w:t>27</w:t>
            </w:r>
          </w:p>
        </w:tc>
        <w:tc>
          <w:tcPr>
            <w:tcW w:w="11745" w:type="dxa"/>
            <w:tcBorders>
              <w:top w:val="single" w:sz="5" w:space="0" w:color="000000"/>
              <w:left w:val="single" w:sz="5" w:space="0" w:color="000000"/>
              <w:bottom w:val="double" w:sz="5" w:space="0" w:color="000000"/>
              <w:right w:val="single" w:sz="5" w:space="0" w:color="000000"/>
            </w:tcBorders>
            <w:vAlign w:val="top"/>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Times New Roman" w:hAnsi="Times New Roman" w:cs="Arial" w:eastAsia="Times New Roman"/>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vAlign w:val="top"/>
          </w:tcPr>
          <w:p>
            <w:r>
              <w:rPr>
                <w:rFonts w:ascii="Times New Roman" w:hAnsi="Times New Roman" w:eastAsia="Times New Roman"/>
                <w:sz w:val="18"/>
              </w:rPr>
              <w:t>Availability of data and materials section: primary data are available from WoSCC using the reported query; PubMed sensitivity strategy is reported; processed bibliometric data are available from the corresponding author on reasonable request. Analytic software and parameters are reported in Methods and Table 3.</w:t>
            </w:r>
          </w:p>
        </w:tc>
      </w:tr>
    </w:tbl>
    <w:p w14:paraId="6338F4EE" w14:textId="77777777" w:rsidR="00FB3483" w:rsidRPr="004C1685" w:rsidRDefault="00FB3483">
      <w:pPr>
        <w:pStyle w:val="Default"/>
        <w:rPr>
          <w:rFonts w:ascii="Arial" w:hAnsi="Arial" w:cs="Arial"/>
          <w:color w:val="auto"/>
        </w:rPr>
      </w:pPr>
      <w:r>
        <w:rPr>
          <w:b/>
          <w:sz w:val="28"/>
        </w:rPr>
        <w:t>PRISMA 2020 Checklist</w:t>
      </w: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t>Manuscript: Patent Foramen Ovale in Cryptogenic Stroke: A 20-Year Systematic Review of Evolving Interventional and Antithrombotic Strategies. This completed checklist is tailored to a PRISMA-informed bibliometric systematic review; items that apply specifically to clinical outcome meta-analysis are marked not applicable with justification.</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40BC9" w14:textId="77777777" w:rsidR="0075137B" w:rsidRDefault="0075137B">
      <w:r>
        <w:separator/>
      </w:r>
    </w:p>
  </w:endnote>
  <w:endnote w:type="continuationSeparator" w:id="0">
    <w:p w14:paraId="7855DFDD" w14:textId="77777777" w:rsidR="0075137B" w:rsidRDefault="00751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5ADC5" w14:textId="77777777" w:rsidR="0075137B" w:rsidRDefault="0075137B">
      <w:r>
        <w:separator/>
      </w:r>
    </w:p>
  </w:footnote>
  <w:footnote w:type="continuationSeparator" w:id="0">
    <w:p w14:paraId="304C42F6" w14:textId="77777777" w:rsidR="0075137B" w:rsidRDefault="00751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470B6" w14:textId="7E5EF785" w:rsidR="00947707" w:rsidRPr="00930A31" w:rsidRDefault="00150BE1" w:rsidP="00080F7E">
    <w:pPr>
      <w:pStyle w:val="CM2"/>
      <w:ind w:left="720"/>
      <w:jc w:val="both"/>
      <w:rPr>
        <w:rFonts w:ascii="Lucida Sans" w:hAnsi="Lucida Sans"/>
        <w:sz w:val="20"/>
        <w:szCs w:val="20"/>
      </w:rPr>
    </w:pPr>
    <w:r>
      <w:rPr>
        <w:noProof/>
      </w:rPr>
      <w:pict w14:anchorId="625B0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left:0;text-align:left;margin-left:0;margin-top:-14.5pt;width:40.9pt;height:39pt;z-index:1;mso-position-horizontal-relative:text;mso-position-vertical-relative:text">
          <v:imagedata r:id="rId1" o:title="Prisma-logo-Colour-white-BG"/>
          <w10:wrap type="square"/>
        </v:shape>
      </w:pict>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77B44"/>
    <w:rsid w:val="00080F7E"/>
    <w:rsid w:val="00150BE1"/>
    <w:rsid w:val="00152CDB"/>
    <w:rsid w:val="0018323E"/>
    <w:rsid w:val="00190C83"/>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C1685"/>
    <w:rsid w:val="005078EE"/>
    <w:rsid w:val="00550BF1"/>
    <w:rsid w:val="0059028D"/>
    <w:rsid w:val="005979B8"/>
    <w:rsid w:val="005A190C"/>
    <w:rsid w:val="00640172"/>
    <w:rsid w:val="006E5FE2"/>
    <w:rsid w:val="006F3BA6"/>
    <w:rsid w:val="00726794"/>
    <w:rsid w:val="0075137B"/>
    <w:rsid w:val="0077253C"/>
    <w:rsid w:val="008412D5"/>
    <w:rsid w:val="008A3EAE"/>
    <w:rsid w:val="008E2C91"/>
    <w:rsid w:val="00930A31"/>
    <w:rsid w:val="00947707"/>
    <w:rsid w:val="009827E5"/>
    <w:rsid w:val="00A215D2"/>
    <w:rsid w:val="00A86593"/>
    <w:rsid w:val="00AA7598"/>
    <w:rsid w:val="00AB79CE"/>
    <w:rsid w:val="00AE4BBD"/>
    <w:rsid w:val="00B51910"/>
    <w:rsid w:val="00B730D1"/>
    <w:rsid w:val="00C22710"/>
    <w:rsid w:val="00D95D84"/>
    <w:rsid w:val="00DC4F19"/>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 w:type="character" w:styleId="UnresolvedMention">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1058</Words>
  <Characters>6034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Matthew Page</cp:lastModifiedBy>
  <cp:revision>31</cp:revision>
  <cp:lastPrinted>2020-11-24T03:02:00Z</cp:lastPrinted>
  <dcterms:created xsi:type="dcterms:W3CDTF">2020-11-24T03:02:00Z</dcterms:created>
  <dcterms:modified xsi:type="dcterms:W3CDTF">2025-02-12T23:24:00Z</dcterms:modified>
</cp:coreProperties>
</file>